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F64FD8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337"/>
        <w:gridCol w:w="429"/>
        <w:gridCol w:w="28"/>
        <w:gridCol w:w="962"/>
        <w:gridCol w:w="855"/>
        <w:gridCol w:w="262"/>
        <w:gridCol w:w="19"/>
        <w:gridCol w:w="796"/>
        <w:gridCol w:w="501"/>
        <w:gridCol w:w="1310"/>
        <w:gridCol w:w="336"/>
        <w:gridCol w:w="1650"/>
      </w:tblGrid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Иван Ракоњац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 Универзитета у Београду, 1. октобар 2018.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менаџмент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2014.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Educons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менаџмент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пројектни менаџмент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машинско инжењертво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индустријско инжењерство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L’Ecole Centrale Paris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инжњерство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инжењерство индустријских система</w:t>
            </w:r>
          </w:p>
        </w:tc>
      </w:tr>
      <w:tr w:rsidR="008140C1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8140C1" w:rsidRPr="00F2626F" w:rsidRDefault="008140C1" w:rsidP="00D5392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8140C1" w:rsidRPr="00F2626F" w:rsidRDefault="008140C1" w:rsidP="00D5392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машинско инжењертво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аутоматкско управљање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8140C1" w:rsidRPr="00F2626F" w:rsidTr="00F2626F">
        <w:trPr>
          <w:trHeight w:val="519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НБ.4.39/3.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Управљање у системима заштите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Студије наука безбедности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НБ.4.37/3.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Индустријка безбедност и заштита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Студије наука безбедности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Превенција ризика у области заштите критичне инфраструктуре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E03E7F">
            <w:pPr>
              <w:pBdr>
                <w:bottom w:val="single" w:sz="6" w:space="8" w:color="EAECEF"/>
              </w:pBdr>
              <w:shd w:val="clear" w:color="auto" w:fill="FFFFFF"/>
              <w:outlineLvl w:val="0"/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</w:pPr>
            <w:r w:rsidRPr="00F2626F"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  <w:t>Студије управљања ризицима од елементарних и других непогода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ru-RU"/>
              </w:rPr>
              <w:t>Методологија процене ризика и израда планова заштите и спасавања од елементарних и других непогода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  <w:t>Студије управљања ризицима од елементарних и других непогода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b/>
                <w:color w:val="222222"/>
                <w:sz w:val="16"/>
                <w:szCs w:val="16"/>
                <w:shd w:val="clear" w:color="auto" w:fill="FFFFFF"/>
              </w:rPr>
              <w:t>Rakonjac I,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 xml:space="preserve"> Brkić V. S. (2018) Identifying and Categorizing Risks of New Product Development in a Small Technology-Driven Company. In </w:t>
            </w:r>
            <w:r w:rsidRPr="00F2626F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 xml:space="preserve">Technology Entrepreneurship 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(pp. 71-98). Springer, Cham. ISBN 978-3-319-73508-5 (М13)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 xml:space="preserve">Golubovic T, Sedmak A, Spasojevic-Brkic V, Kirin S, </w:t>
            </w: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(2018) “Novel Risk Based Assessment of Pressure Vessels Integrity” </w:t>
            </w:r>
            <w:r w:rsidRPr="00F2626F">
              <w:rPr>
                <w:rFonts w:ascii="Times New Roman" w:eastAsia="AdvGulliv-R" w:hAnsi="Times New Roman"/>
                <w:i/>
                <w:sz w:val="16"/>
                <w:szCs w:val="16"/>
              </w:rPr>
              <w:t>Technical gazette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25, 5,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Engineering, Multidisciplinary, IF=0.723, DOI: 10.17559/TV-20170829144636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 xml:space="preserve"> (М23)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Slavković, G., Budimir, J.S., </w:t>
            </w:r>
            <w:r w:rsidRPr="00F2626F">
              <w:rPr>
                <w:rFonts w:ascii="Times New Roman" w:eastAsia="AdvGulliv-R" w:hAnsi="Times New Roman"/>
                <w:b/>
                <w:sz w:val="16"/>
                <w:szCs w:val="16"/>
              </w:rPr>
              <w:t>Rakonjac, M.I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>., Jarić, S.M., Budimir, J.N. (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2014)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 “Techno-economic analysis of heat exchangers with parallel helical tube coils”, </w:t>
            </w:r>
            <w:r w:rsidRPr="00F2626F">
              <w:rPr>
                <w:rFonts w:ascii="Times New Roman" w:eastAsia="AdvGulliv-R" w:hAnsi="Times New Roman"/>
                <w:i/>
                <w:sz w:val="16"/>
                <w:szCs w:val="16"/>
              </w:rPr>
              <w:t>Technical gazette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21, 4, 861-866.</w:t>
            </w:r>
            <w:r w:rsidRPr="00F2626F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M23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Engineering, Multidisciplinary, 56/87,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(М23)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Ninkovi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 xml:space="preserve">ć D, Sedmak A, </w:t>
            </w:r>
            <w:r w:rsidRPr="00F2626F">
              <w:rPr>
                <w:rStyle w:val="apple-style-span"/>
                <w:rFonts w:ascii="Times New Roman" w:hAnsi="Times New Roman"/>
                <w:b/>
                <w:sz w:val="16"/>
                <w:szCs w:val="16"/>
                <w:lang w:val="sr-Latn-CS"/>
              </w:rPr>
              <w:t>Rakonjac 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 xml:space="preserve">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Misita M. (2012) „Information-communication and Documentation Flow within R&amp;D Function Model“, </w:t>
            </w:r>
            <w:r w:rsidRPr="00F2626F">
              <w:rPr>
                <w:rStyle w:val="apple-style-span"/>
                <w:rFonts w:ascii="Times New Roman" w:hAnsi="Times New Roman"/>
                <w:i/>
                <w:sz w:val="16"/>
                <w:szCs w:val="16"/>
                <w:lang w:val="en-GB"/>
              </w:rPr>
              <w:t>Technics Technology Education Management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, 7, 1, 137-146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 xml:space="preserve">. </w:t>
            </w:r>
            <w:r w:rsidR="00061DED"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(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M23</w:t>
            </w:r>
            <w:r w:rsidR="00061DED"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Style w:val="apple-style-span"/>
                <w:rFonts w:ascii="Times New Roman" w:hAnsi="Times New Roman"/>
                <w:b/>
                <w:sz w:val="16"/>
                <w:szCs w:val="16"/>
                <w:lang w:val="sr-Latn-CS"/>
              </w:rPr>
              <w:t>Rakonjac 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,  Rakonjac I, Kirin S, Spasojevi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>ć-Brkić V, Sedmak A. (2011) „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Risk Analysis by Key-coefficient Assessment - Public Lighting Project Example”, </w:t>
            </w:r>
            <w:r w:rsidRPr="00F2626F">
              <w:rPr>
                <w:rStyle w:val="apple-style-span"/>
                <w:rFonts w:ascii="Times New Roman" w:hAnsi="Times New Roman"/>
                <w:i/>
                <w:sz w:val="16"/>
                <w:szCs w:val="16"/>
                <w:lang w:val="en-GB"/>
              </w:rPr>
              <w:t xml:space="preserve">Technics Technology Education Management,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6, 4, 1014-1023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.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(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M23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ind w:hanging="15"/>
              <w:contextualSpacing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Rakonjac I, </w:t>
            </w:r>
            <w:r w:rsidRPr="00F2626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Rakonjac I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, Fotirić N, Rajković I, Gašić M. (2016) „Аnaliza svetlosnih karakteristika u eksploatacionom veku instalacije osvetljenja“/„Lighting Features Life Cycle Analysis for a Lighting System“, Structural Integrity and Life, 16, 2, 81-86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>. (М24)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>Rakonjac I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. (2018)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 xml:space="preserve">Governmental Support of Institutional Cooperation Between Science and Small and Medium-Sized Businesses in Serbia. 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>7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 xml:space="preserve"> International Symposium of Industrial Engineering – SIE 2018, Opening Plenary Session. Proceedings, 11 – 14. Belgrade, 2018, September 27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(2017)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 xml:space="preserve">Significance and results of the Innovation fund of Serbia for the translation of ideas to innovations.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Kladovo, 2017, Jun 5, 4</w:t>
            </w:r>
            <w:r w:rsidRPr="00F2626F">
              <w:rPr>
                <w:rFonts w:ascii="Times New Roman" w:hAnsi="Times New Roman"/>
                <w:sz w:val="16"/>
                <w:szCs w:val="16"/>
                <w:vertAlign w:val="superscript"/>
              </w:rPr>
              <w:t>th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 International Conference on Electrical, Electronic and Computing Engineering - IcETRAN, Special session: Integration of the Serbian engineering R&amp;D into European Research Area.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 xml:space="preserve">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9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(2015)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 xml:space="preserve">Analysis of Innovative Activities in the Sector of Small and Medium Enterprises and Entrepreneurs in Serbia.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Belgrade, Regional Development Policy: Scientific Basis and Empirical Evidence. Belgrade Banking Academy, Faculty for Banking, Insurance and Finance.Proceedings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152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>-159.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10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pStyle w:val="m-2533277872066909874gmail-default"/>
              <w:shd w:val="clear" w:color="auto" w:fill="FFFFFF"/>
              <w:spacing w:before="0" w:beforeAutospacing="0" w:after="0" w:afterAutospacing="0"/>
              <w:jc w:val="both"/>
              <w:rPr>
                <w:color w:val="222222"/>
                <w:sz w:val="16"/>
                <w:szCs w:val="16"/>
              </w:rPr>
            </w:pPr>
            <w:r w:rsidRPr="00F2626F">
              <w:rPr>
                <w:b/>
                <w:color w:val="222222"/>
                <w:sz w:val="16"/>
                <w:szCs w:val="16"/>
              </w:rPr>
              <w:t>Rakonjac I</w:t>
            </w:r>
            <w:r w:rsidRPr="00F2626F">
              <w:rPr>
                <w:color w:val="222222"/>
                <w:sz w:val="16"/>
                <w:szCs w:val="16"/>
              </w:rPr>
              <w:t>, Rakonjac I, Gašić M. (2017) „Comparative Review of the Risk Assessment Quantitative Models for Public Open Spaces Lighting Design Optimisation“,</w:t>
            </w:r>
            <w:r w:rsidRPr="00F2626F">
              <w:rPr>
                <w:i/>
                <w:iCs/>
                <w:color w:val="222222"/>
                <w:sz w:val="16"/>
                <w:szCs w:val="16"/>
              </w:rPr>
              <w:t>Journal of Applied Engineering Science, </w:t>
            </w:r>
            <w:r w:rsidRPr="00F2626F">
              <w:rPr>
                <w:color w:val="222222"/>
                <w:sz w:val="16"/>
                <w:szCs w:val="16"/>
              </w:rPr>
              <w:t>15(2017)2, 427, 181 – 186 (doi:10.5937/jaes15-13926) (М51)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140C1" w:rsidRPr="00F2626F" w:rsidTr="00F2626F">
        <w:trPr>
          <w:trHeight w:val="271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874" w:type="dxa"/>
            <w:gridSpan w:val="7"/>
            <w:vAlign w:val="center"/>
          </w:tcPr>
          <w:p w:rsidR="008140C1" w:rsidRPr="00F2626F" w:rsidRDefault="00026BE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8140C1" w:rsidRPr="00F2626F" w:rsidTr="00F2626F">
        <w:trPr>
          <w:trHeight w:val="271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874" w:type="dxa"/>
            <w:gridSpan w:val="7"/>
            <w:vAlign w:val="center"/>
          </w:tcPr>
          <w:p w:rsidR="008140C1" w:rsidRPr="00F2626F" w:rsidRDefault="00D87487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</w:tr>
      <w:tr w:rsidR="008140C1" w:rsidRPr="00F2626F" w:rsidTr="00F2626F">
        <w:trPr>
          <w:trHeight w:val="176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78" w:type="dxa"/>
            <w:gridSpan w:val="4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</w:p>
        </w:tc>
        <w:tc>
          <w:tcPr>
            <w:tcW w:w="3296" w:type="dxa"/>
            <w:gridSpan w:val="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D87487"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: 1</w:t>
            </w:r>
          </w:p>
        </w:tc>
      </w:tr>
      <w:tr w:rsidR="008140C1" w:rsidRPr="00F2626F" w:rsidTr="00F2626F">
        <w:trPr>
          <w:trHeight w:val="271"/>
        </w:trPr>
        <w:tc>
          <w:tcPr>
            <w:tcW w:w="2333" w:type="dxa"/>
            <w:gridSpan w:val="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719" w:type="dxa"/>
            <w:gridSpan w:val="10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5F4F7C" w:rsidRPr="0049550A" w:rsidRDefault="005F4F7C" w:rsidP="00A619FD">
      <w:pPr>
        <w:rPr>
          <w:lang w:val="ru-RU"/>
        </w:rPr>
      </w:pPr>
    </w:p>
    <w:sectPr w:rsidR="005F4F7C" w:rsidRPr="0049550A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dvGulliv-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8F4FE6"/>
    <w:multiLevelType w:val="hybridMultilevel"/>
    <w:tmpl w:val="DF021166"/>
    <w:lvl w:ilvl="0" w:tplc="6E1CA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4D75828"/>
    <w:multiLevelType w:val="hybridMultilevel"/>
    <w:tmpl w:val="3C3AE2A2"/>
    <w:lvl w:ilvl="0" w:tplc="7E28529A">
      <w:start w:val="1"/>
      <w:numFmt w:val="decimal"/>
      <w:lvlText w:val="%1."/>
      <w:lvlJc w:val="left"/>
      <w:pPr>
        <w:ind w:left="720" w:hanging="360"/>
      </w:pPr>
      <w:rPr>
        <w:color w:val="222222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638FF"/>
    <w:multiLevelType w:val="hybridMultilevel"/>
    <w:tmpl w:val="93605822"/>
    <w:lvl w:ilvl="0" w:tplc="88E40B1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26BE8"/>
    <w:rsid w:val="00061DED"/>
    <w:rsid w:val="001C1865"/>
    <w:rsid w:val="0021773B"/>
    <w:rsid w:val="00483999"/>
    <w:rsid w:val="0049550A"/>
    <w:rsid w:val="005B4775"/>
    <w:rsid w:val="005D037E"/>
    <w:rsid w:val="005F4F7C"/>
    <w:rsid w:val="00621EAB"/>
    <w:rsid w:val="008140C1"/>
    <w:rsid w:val="00A11B1D"/>
    <w:rsid w:val="00A619FD"/>
    <w:rsid w:val="00B016B2"/>
    <w:rsid w:val="00B66718"/>
    <w:rsid w:val="00B704DE"/>
    <w:rsid w:val="00BB1448"/>
    <w:rsid w:val="00D67472"/>
    <w:rsid w:val="00D87487"/>
    <w:rsid w:val="00DE0D2D"/>
    <w:rsid w:val="00E03E7F"/>
    <w:rsid w:val="00ED32B9"/>
    <w:rsid w:val="00F03BC4"/>
    <w:rsid w:val="00F2626F"/>
    <w:rsid w:val="00F64FD8"/>
    <w:rsid w:val="00F9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03E7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2"/>
    <w:basedOn w:val="ListNumber"/>
    <w:link w:val="ListParagraphChar"/>
    <w:uiPriority w:val="34"/>
    <w:qFormat/>
    <w:rsid w:val="001C1865"/>
    <w:pPr>
      <w:spacing w:after="240"/>
      <w:contextualSpacing w:val="0"/>
      <w:jc w:val="both"/>
    </w:pPr>
    <w:rPr>
      <w:rFonts w:ascii="Times New Roman" w:hAnsi="Times New Roman"/>
    </w:rPr>
  </w:style>
  <w:style w:type="character" w:customStyle="1" w:styleId="ListParagraphChar">
    <w:name w:val="List Paragraph Char"/>
    <w:aliases w:val="List Paragraph 2 Char"/>
    <w:link w:val="ListParagraph"/>
    <w:uiPriority w:val="34"/>
    <w:rsid w:val="001C1865"/>
    <w:rPr>
      <w:rFonts w:ascii="Times New Roman" w:eastAsia="Calibri" w:hAnsi="Times New Roman" w:cs="Times New Roman"/>
    </w:rPr>
  </w:style>
  <w:style w:type="paragraph" w:styleId="ListNumber">
    <w:name w:val="List Number"/>
    <w:basedOn w:val="Normal"/>
    <w:uiPriority w:val="99"/>
    <w:semiHidden/>
    <w:unhideWhenUsed/>
    <w:rsid w:val="001C1865"/>
    <w:pPr>
      <w:ind w:left="360" w:hanging="360"/>
      <w:contextualSpacing/>
    </w:pPr>
  </w:style>
  <w:style w:type="character" w:customStyle="1" w:styleId="apple-style-span">
    <w:name w:val="apple-style-span"/>
    <w:rsid w:val="001C1865"/>
  </w:style>
  <w:style w:type="paragraph" w:customStyle="1" w:styleId="m-2533277872066909874gmail-default">
    <w:name w:val="m_-2533277872066909874gmail-default"/>
    <w:basedOn w:val="Normal"/>
    <w:rsid w:val="00061D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03E7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2019-07-01T09:01:00Z</dcterms:created>
  <dcterms:modified xsi:type="dcterms:W3CDTF">2019-07-01T09:01:00Z</dcterms:modified>
</cp:coreProperties>
</file>